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613903d1_6k.htm"/>
      <w:bookmarkStart w:id="1" w:name="kstm2613903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jc w:val="center"/>
        <w:rPr/>
      </w:pPr>
      <w:r>
        <w:rPr>
          <w:b/>
        </w:rPr>
        <w:t>UNITED STATES</w:t>
      </w: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AND EXCHANGE COMMISSION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May 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001-34862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FANG HOLDINGS LIMITED</w:t>
      </w:r>
      <w:r>
        <w:rPr>
          <w:rFonts w:ascii="Times New Roman;Times;Serif" w:hAnsi="Times New Roman;Times;Serif"/>
          <w:b w:val="false"/>
          <w:i w:val="false"/>
          <w:caps w:val="false"/>
          <w:smallCaps w:val="false"/>
          <w:sz w:val="28"/>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Tower A, No. 20 Guogongzhuang Middle Street</w:t>
        <w:br/>
        <w:t>Fengtai District, Beijing 100070</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People’s Republic of China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5005" w:type="dxa"/>
        <w:jc w:val="left"/>
        <w:tblInd w:w="0" w:type="dxa"/>
        <w:tblLayout w:type="fixed"/>
        <w:tblCellMar>
          <w:top w:w="0" w:type="dxa"/>
          <w:left w:w="0" w:type="dxa"/>
          <w:bottom w:w="28" w:type="dxa"/>
          <w:right w:w="0" w:type="dxa"/>
        </w:tblCellMar>
      </w:tblPr>
      <w:tblGrid>
        <w:gridCol w:w="1055"/>
        <w:gridCol w:w="60"/>
        <w:gridCol w:w="3890"/>
      </w:tblGrid>
      <w:tr>
        <w:trPr/>
        <w:tc>
          <w:tcPr>
            <w:tcW w:w="105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10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55" w:type="dxa"/>
            <w:tcBorders/>
            <w:tcMar>
              <w:bottom w:w="0" w:type="dxa"/>
            </w:tcMar>
            <w:vAlign w:val="center"/>
          </w:tcPr>
          <w:p>
            <w:pPr>
              <w:pStyle w:val="TableContents"/>
              <w:bidi w:val="0"/>
              <w:spacing w:before="0" w:after="283"/>
              <w:jc w:val="left"/>
              <w:rPr/>
            </w:pPr>
            <w:hyperlink w:anchor="tm2613903d1_ex99-1.htm">
              <w:r>
                <w:rPr>
                  <w:rStyle w:val="InternetLink"/>
                  <w:rFonts w:ascii="Times New Roman;Times;Serif" w:hAnsi="Times New Roman;Times;Serif"/>
                  <w:b w:val="false"/>
                  <w:i w:val="false"/>
                  <w:caps w:val="false"/>
                  <w:smallCaps w:val="false"/>
                  <w:sz w:val="20"/>
                </w:rPr>
                <w:t>Exhibit 99.1</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90" w:type="dxa"/>
            <w:tcBorders/>
            <w:tcMar>
              <w:bottom w:w="0" w:type="dxa"/>
            </w:tcMar>
            <w:vAlign w:val="center"/>
          </w:tcPr>
          <w:p>
            <w:pPr>
              <w:pStyle w:val="TableContents"/>
              <w:bidi w:val="0"/>
              <w:spacing w:before="0" w:after="283"/>
              <w:jc w:val="left"/>
              <w:rPr/>
            </w:pPr>
            <w:hyperlink w:anchor="tm2613903d1_ex99-1.htm">
              <w:r>
                <w:rPr>
                  <w:rStyle w:val="InternetLink"/>
                  <w:rFonts w:ascii="Times New Roman;Times;Serif" w:hAnsi="Times New Roman;Times;Serif"/>
                  <w:b w:val="false"/>
                  <w:i w:val="false"/>
                  <w:caps w:val="false"/>
                  <w:smallCaps w:val="false"/>
                  <w:sz w:val="20"/>
                </w:rPr>
                <w:t>Fang Announces Changes in Board of Directors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415" w:type="dxa"/>
        <w:jc w:val="left"/>
        <w:tblInd w:w="0" w:type="dxa"/>
        <w:tblLayout w:type="fixed"/>
        <w:tblCellMar>
          <w:top w:w="0" w:type="dxa"/>
          <w:left w:w="0" w:type="dxa"/>
          <w:bottom w:w="0" w:type="dxa"/>
          <w:right w:w="0" w:type="dxa"/>
        </w:tblCellMar>
      </w:tblPr>
      <w:tblGrid>
        <w:gridCol w:w="1550"/>
        <w:gridCol w:w="650"/>
        <w:gridCol w:w="3215"/>
      </w:tblGrid>
      <w:tr>
        <w:trPr/>
        <w:tc>
          <w:tcPr>
            <w:tcW w:w="155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left"/>
              <w:rPr>
                <w:b/>
              </w:rPr>
            </w:pPr>
            <w:r>
              <w:rPr>
                <w:b/>
              </w:rPr>
              <w:t>FANG HOLDINGS LIMITED</w:t>
            </w:r>
          </w:p>
        </w:tc>
      </w:tr>
      <w:tr>
        <w:trPr/>
        <w:tc>
          <w:tcPr>
            <w:tcW w:w="155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8, 2026</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Vincent Tianquan Mo</w:t>
            </w:r>
          </w:p>
        </w:tc>
      </w:tr>
      <w:tr>
        <w:trPr/>
        <w:tc>
          <w:tcPr>
            <w:tcW w:w="155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215" w:type="dxa"/>
            <w:tcBorders/>
            <w:vAlign w:val="center"/>
          </w:tcPr>
          <w:p>
            <w:pPr>
              <w:pStyle w:val="TableContents"/>
              <w:bidi w:val="0"/>
              <w:spacing w:before="0" w:after="283"/>
              <w:jc w:val="left"/>
              <w:rPr/>
            </w:pPr>
            <w:r>
              <w:rPr/>
              <w:t>Vincent Tianquan Mo</w:t>
            </w:r>
          </w:p>
        </w:tc>
      </w:tr>
      <w:tr>
        <w:trPr/>
        <w:tc>
          <w:tcPr>
            <w:tcW w:w="155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Chairman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13903d1_ex99-1.htm"/>
      <w:bookmarkStart w:id="3" w:name="kstm2613903d1_ex991"/>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FANG ANNOUNCES CHANGES IN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May 8, 2026 (GLOBE NEWSWIRE) -- Fang Holdings Limited (OTC: SFUNY) (“Fang” or the “Company”), a leading real estate Internet portal in China, today announced changes in its board of directors (the "Board").</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The Board has nominated and appointed Qifang Liu ("Ms. Liu”) as an independent director of the Board, as well as the member of the audit committee of the Board, effective May 7, 2026. Ms. Liu has expressed his commitment to serving the Company and creating values for its shareholders.</w:t>
      </w:r>
    </w:p>
    <w:p>
      <w:pPr>
        <w:pStyle w:val="TextBody"/>
        <w:shd w:fill="FFFFFF" w:val="clear"/>
        <w:bidi w:val="0"/>
        <w:spacing w:before="0" w:after="0"/>
        <w:ind w:left="0" w:right="0" w:hanging="0"/>
        <w:jc w:val="both"/>
        <w:rPr>
          <w:caps w:val="false"/>
          <w:smallCaps w:val="false"/>
          <w:color w:val="333333"/>
        </w:rPr>
      </w:pPr>
      <w:r>
        <w:rPr>
          <w:caps w:val="false"/>
          <w:smallCaps w:val="false"/>
          <w:color w:val="333333"/>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Liu currently serves as President of the Jilin Province Public Welfare and Charity Foundation. She concurrently holds the positions of Chairperson of the Jingcheng Social Work Service Center of the Changchun Jingyue High-tech Industrial Development Zone and Professor at Yanbian University. Her previous appointments include General Manager of Great Wall Guanglian (Beijing) International Cultural Development Co., Ltd., and Director of the “Jixin Project” public welfare poverty alleviation program. Dr. Liu obtained her Doctor of Business Administration from the University of Macau in 2023 and her Master of Business Administration from Zhejiang University in 2019.</w:t>
      </w:r>
    </w:p>
    <w:p>
      <w:pPr>
        <w:pStyle w:val="TextBody"/>
        <w:shd w:fill="FFFFFF" w:val="clear"/>
        <w:bidi w:val="0"/>
        <w:spacing w:before="0" w:after="0"/>
        <w:ind w:left="0" w:right="0" w:hanging="0"/>
        <w:jc w:val="both"/>
        <w:rPr>
          <w:caps w:val="false"/>
          <w:smallCaps w:val="false"/>
          <w:color w:val="333333"/>
        </w:rPr>
      </w:pPr>
      <w:r>
        <w:rPr>
          <w:caps w:val="false"/>
          <w:smallCaps w:val="false"/>
          <w:color w:val="333333"/>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Upon the effectiveness of Ms. Liu’s appointment, the Board will consist of six directors, including four independent directors.</w:t>
      </w:r>
    </w:p>
    <w:p>
      <w:pPr>
        <w:pStyle w:val="TextBody"/>
        <w:shd w:fill="FFFFFF" w:val="clear"/>
        <w:bidi w:val="0"/>
        <w:spacing w:before="0" w:after="0"/>
        <w:ind w:left="0" w:right="0" w:hanging="0"/>
        <w:jc w:val="both"/>
        <w:rPr>
          <w:caps w:val="false"/>
          <w:smallCaps w:val="false"/>
        </w:rPr>
      </w:pPr>
      <w:r>
        <w:rPr>
          <w:caps w:val="false"/>
          <w:smallCaps w:val="false"/>
          <w:color w:val="333333"/>
        </w:rPr>
        <w:t> </w:t>
      </w: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Fang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Fang operates a leading real estate Internet portal in China in terms of the number of page views and visitors to its websites. Through its websites, Fang provides primarily marketing, listing, leads generation and financial services for China's real estate and home furnishing and improvement sectors. Its user-friendly websites support active online communities and networks of users seeking information on, and value-added services for, the real estate and home furnishing and improvement sectors in China. Fang currently maintains approximately 62 offices to focus on local market needs and its website and database contains real estate related content covering 658 cities in China. For more information about Fang, please visit http://ir.fang.com.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27A of the Securities Act of 1933, as amended, and Section 21E of the Securities Exchange Act of 1934, as amended. Such forward-looking statements are made under the “safe harbor” provisions of the U.S. Private Securities Litigation Reform Act of 1995.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other than statements of historical fact in this announcement are forward-looking statements. These forward-looking statements can be identified by terminology such as “will,” “expects,” “is expected to,” “anticipates,” “aim,” “future,” “intends,” “plans,” “believes,” “are likely to,” “estimates,” “may,” “should” and similar expressions. Forward-looking statements involve inherent risks and uncertainties and are based on current expectations, assumptions, estimates and projections about Fang and the industry, and relate to events that involve known or unknown risks, uncertainties and other factors, all of which are difficult to predict and many of which are beyond Fang’s control, which may cause its actual results, performance or achievements to differ materially from those in the forward-looking statements. Further information regarding these and other risks, uncertainties or factors is included in Fang’s filings with the U.S. Securities and Exchange Commission. Fang does not undertake any obligation to update any forward-looking statement as a result of new information, future events or otherwise, except as required under law. Although Fang believes that the expectations expressed in these forward-looking statements are reasonable, it cannot assure you that its expectations will turn out to be correct, and investors are cautioned that actual results may differ materially from the anticipated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Fang Investor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ir@fang.com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793</Words>
  <Characters>4514</Characters>
  <CharactersWithSpaces>5329</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