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628d1_6k.htm"/>
      <w:bookmarkStart w:id="1" w:name="kstm2614628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001-34862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FANG HOLDINGS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A, No. 20 Guogongzhuang Middle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Fengtai District, Beijing 100070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left"/>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1055"/>
        <w:gridCol w:w="60"/>
        <w:gridCol w:w="3890"/>
      </w:tblGrid>
      <w:tr>
        <w:trPr/>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center"/>
              <w:rPr/>
            </w:pPr>
            <w:hyperlink w:anchor="tm2614628d1_ex99-1.htm">
              <w:r>
                <w:rPr>
                  <w:rStyle w:val="InternetLink"/>
                  <w:rFonts w:ascii="Times New Roman;Times;Serif" w:hAnsi="Times New Roman;Times;Serif"/>
                  <w:b w:val="false"/>
                  <w:i w:val="false"/>
                  <w:caps w:val="false"/>
                  <w:smallCaps w:val="false"/>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pPr>
            <w:hyperlink w:anchor="tm2614628d1_ex99-1.htm">
              <w:r>
                <w:rPr>
                  <w:rStyle w:val="InternetLink"/>
                  <w:rFonts w:ascii="Times New Roman;Times;Serif" w:hAnsi="Times New Roman;Times;Serif"/>
                  <w:b w:val="false"/>
                  <w:i w:val="false"/>
                  <w:caps w:val="false"/>
                  <w:smallCaps w:val="false"/>
                  <w:sz w:val="20"/>
                </w:rPr>
                <w:t>Fang Announces Changes in Board of Directors</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4869" w:type="dxa"/>
        <w:jc w:val="left"/>
        <w:tblInd w:w="0" w:type="dxa"/>
        <w:tblLayout w:type="fixed"/>
        <w:tblCellMar>
          <w:top w:w="0" w:type="dxa"/>
          <w:left w:w="0" w:type="dxa"/>
          <w:bottom w:w="0" w:type="dxa"/>
          <w:right w:w="0" w:type="dxa"/>
        </w:tblCellMar>
      </w:tblPr>
      <w:tblGrid>
        <w:gridCol w:w="1655"/>
        <w:gridCol w:w="711"/>
        <w:gridCol w:w="2503"/>
      </w:tblGrid>
      <w:tr>
        <w:trPr/>
        <w:tc>
          <w:tcPr>
            <w:tcW w:w="165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b/>
              </w:rPr>
            </w:pPr>
            <w:r>
              <w:rPr>
                <w:b/>
              </w:rPr>
              <w:t>FANG HOLDINGS LIMITED</w:t>
            </w:r>
          </w:p>
        </w:tc>
      </w:tr>
      <w:tr>
        <w:trPr/>
        <w:tc>
          <w:tcPr>
            <w:tcW w:w="165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2503"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7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Vincent Tianquan Mo</w:t>
            </w:r>
          </w:p>
        </w:tc>
      </w:tr>
      <w:tr>
        <w:trPr/>
        <w:tc>
          <w:tcPr>
            <w:tcW w:w="165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Tianquan Mo</w:t>
            </w:r>
          </w:p>
        </w:tc>
      </w:tr>
      <w:tr>
        <w:trPr/>
        <w:tc>
          <w:tcPr>
            <w:tcW w:w="165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614628d1_ex99-1.htm"/>
      <w:bookmarkStart w:id="3" w:name="kstm2614628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FANG ANNOUNCES CHANGES IN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May 15, 2026(GLOBE NEWSWIRE) -- Fang Holdings Limited (OTC: SFUNY) (“Fang” or the “Company”), a leading real estate Internet portal in China, today announced changes in its board of directors (the "Board").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Howard Huyue Zhang ("Mr. Zhang"), an independent director of the Board, has resigned from the Board, and the audit committee of the Board, for personal reasons, effective May 13, 2026. Mr. Zhang’s resignation did not result from any disagreement with the Company on any matter relating to the Company's operations, policies or practices. The Company expresses gratitude to Mr. Zhang for his contributions and efforts.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Board has nominated and appointed Shaohua Zhang ("Mr. Shaohua Zhang”) as the chairperson of the audit committee of the Board, effective May 14, 2026. Mr. Shaohua Zhang has expressed his commitment to serving the Company and creating values for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Upon the effectiveness of Mr. Zhang's resignation, the Board will continue to consist of five directors, including three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operates a leading real estate Internet portal in China in terms of the number of page views and visitors to its websites. Through its websites, Fang provides primarily marketing, listing, leads generation and financial services for China's real estate and home furnishing and improvement sectors. Its user-friendly websites support active online communities and networks of users seeking information on, and value-added services for, the real estate and home furnishing and improvement sectors in China. Fang currently maintains approximately 62 offices to focus on local market needs and its website and database contains real estate related content covering 658 cities in China. For more information about Fang, please visit http://ir.fang.com.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Such forward-looking statements are made under the “safe harbor” provisions of the U.S.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announcement are forward-looking statements. These forward-looking statements can be identified by terminology such as “will,” “expects,” “is expected to,” “anticipates,” “aim,” “future,” “intends,” “plans,” “believes,” “are likely to,” “estimates,” “may,” “should” and similar expressions. Forward-looking statements involve inherent risks and uncertainties and are based on current expectations, assumptions, estimates and projections about Fang and the industry, and relate to events that involve known or unknown risks, uncertainties and other factors, all of which are difficult to predict and many of which are beyond Fang’s control, which may cause its actual results, performance or achievements to differ materially from those in the forward-looking statements. Further information regarding these and other risks, uncertainties or factors is included in Fang’s filings with the U.S. Securities and Exchange Commission. Fang does not undertake any obligation to update any forward-looking statement as a result of new information, future events or otherwise, except as required under law. Although Fang believes that the expectations expressed in these forward-looking statements are reasonable, it cannot assure you that its expectations will turn out to be correct, and investors are cautioned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ir@fang.com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757</Words>
  <Characters>4293</Characters>
  <CharactersWithSpaces>5063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