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10,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001-34862</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FANG HOLDINGS LIMITED</w:t>
      </w:r>
    </w:p>
    <w:p>
      <w:pPr>
        <w:spacing w:after="0" w:line="4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Tower A, No. 20 Guogongzhuang Middle Street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Fengtai District, Beijing 100070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filed, on October 25, 2025, Oasis Investments II Master Fund Ltd.(“Plaintiff”),Fang Holdings Limited (“Fang”),and some Fang's executives and their affiliates(“Defendants”) had reached a Stipulation of Settlement with respect to a derivative case in New York (“Stipulation”).The New York State Supreme Court, Commercial Division entered the Final Order and Judgment on February 9, 2026 (“Final Order”), which approves the Stipulation. The Final Order became final as of March 12,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Stipulation,a special cash distribution will be paid from a settlement account funded by the Defendants. The special cash distribution is payable to all holders of Fang’s ordinary shares (including those in the form of Fang American Depositary Shares (“</w:t>
      </w:r>
      <w:r>
        <w:rPr>
          <w:rFonts w:ascii="Times New Roman" w:cs="Times New Roman" w:eastAsia="Times New Roman" w:hAnsi="Times New Roman"/>
          <w:sz w:val="18"/>
          <w:szCs w:val="18"/>
          <w:i w:val="1"/>
          <w:iCs w:val="1"/>
          <w:color w:val="auto"/>
        </w:rPr>
        <w:t>ADSs</w:t>
      </w:r>
      <w:r>
        <w:rPr>
          <w:rFonts w:ascii="Times New Roman" w:cs="Times New Roman" w:eastAsia="Times New Roman" w:hAnsi="Times New Roman"/>
          <w:sz w:val="18"/>
          <w:szCs w:val="18"/>
          <w:color w:val="auto"/>
        </w:rPr>
        <w:t>”)) of record as of the close of business on April 20, 2026 Eastern Time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unless otherwise provided in the Stipulation. The special cash distribution is expected to be paid by May 5,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Stipulation, Fang confirms the transfer of the CIH Holdings Limited 20,471,063 shares from Defendants to Fang has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FANG HOLDINGS LIMITED</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10,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Vincent Tianquan Mo</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Vincent Tianquan Mo</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2026-04-10T05:06:26Z</dcterms:created>
  <dcterms:modified xsi:type="dcterms:W3CDTF">2026-04-10T05:06:26Z</dcterms:modified>
</cp:coreProperties>
</file>